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03" w:rsidRDefault="006F3D03" w:rsidP="006F3D03">
      <w:pPr>
        <w:pStyle w:val="1"/>
        <w:shd w:val="clear" w:color="auto" w:fill="auto"/>
        <w:tabs>
          <w:tab w:val="left" w:leader="underscore" w:pos="7008"/>
          <w:tab w:val="left" w:pos="8438"/>
          <w:tab w:val="left" w:leader="underscore" w:pos="9888"/>
        </w:tabs>
        <w:spacing w:after="0"/>
        <w:ind w:left="6120" w:firstLine="0"/>
        <w:jc w:val="right"/>
      </w:pPr>
      <w:r>
        <w:t>УТВЕРЖДЕНЫ</w:t>
      </w:r>
    </w:p>
    <w:p w:rsidR="006F3D03" w:rsidRDefault="00C83AA0" w:rsidP="006F3D03">
      <w:pPr>
        <w:pStyle w:val="1"/>
        <w:shd w:val="clear" w:color="auto" w:fill="auto"/>
        <w:tabs>
          <w:tab w:val="left" w:leader="underscore" w:pos="7008"/>
          <w:tab w:val="left" w:pos="8438"/>
          <w:tab w:val="left" w:leader="underscore" w:pos="9888"/>
        </w:tabs>
        <w:spacing w:after="0"/>
        <w:ind w:left="6120" w:firstLine="0"/>
        <w:jc w:val="right"/>
      </w:pPr>
      <w:r>
        <w:t>приказом Председателя Контрольно-счетной палаты МОГО «Ухта»</w:t>
      </w:r>
    </w:p>
    <w:p w:rsidR="00F66966" w:rsidRDefault="00C83AA0">
      <w:pPr>
        <w:pStyle w:val="1"/>
        <w:shd w:val="clear" w:color="auto" w:fill="auto"/>
        <w:tabs>
          <w:tab w:val="left" w:leader="underscore" w:pos="7008"/>
          <w:tab w:val="left" w:pos="8438"/>
          <w:tab w:val="left" w:leader="underscore" w:pos="9888"/>
        </w:tabs>
        <w:spacing w:after="280"/>
        <w:ind w:left="6120" w:firstLine="0"/>
        <w:jc w:val="right"/>
      </w:pPr>
      <w:r>
        <w:t xml:space="preserve"> от «</w:t>
      </w:r>
      <w:r w:rsidR="006F3D03">
        <w:t xml:space="preserve"> 01</w:t>
      </w:r>
      <w:r>
        <w:t xml:space="preserve">» </w:t>
      </w:r>
      <w:r w:rsidR="006F3D03">
        <w:t>ноября 2</w:t>
      </w:r>
      <w:r>
        <w:t>017г. №</w:t>
      </w:r>
      <w:r w:rsidR="006F3D03">
        <w:t xml:space="preserve"> 11/ПД</w:t>
      </w:r>
    </w:p>
    <w:p w:rsidR="00F66966" w:rsidRDefault="00C83AA0">
      <w:pPr>
        <w:pStyle w:val="1"/>
        <w:shd w:val="clear" w:color="auto" w:fill="auto"/>
        <w:spacing w:line="230" w:lineRule="auto"/>
        <w:ind w:firstLine="0"/>
        <w:jc w:val="center"/>
      </w:pPr>
      <w:r>
        <w:rPr>
          <w:b/>
          <w:bCs/>
        </w:rPr>
        <w:t>Методические рекомендации</w:t>
      </w:r>
    </w:p>
    <w:p w:rsidR="00F66966" w:rsidRDefault="00C83AA0">
      <w:pPr>
        <w:pStyle w:val="1"/>
        <w:shd w:val="clear" w:color="auto" w:fill="auto"/>
        <w:spacing w:after="280" w:line="230" w:lineRule="auto"/>
        <w:ind w:firstLine="0"/>
        <w:jc w:val="center"/>
      </w:pPr>
      <w:r>
        <w:rPr>
          <w:b/>
          <w:bCs/>
        </w:rPr>
        <w:t>по проведению оценки эффективности и результативности</w:t>
      </w:r>
      <w:r>
        <w:rPr>
          <w:b/>
          <w:bCs/>
        </w:rPr>
        <w:br/>
        <w:t>бюджетных расходов в сфере закупок</w:t>
      </w:r>
    </w:p>
    <w:p w:rsidR="00F66966" w:rsidRDefault="00C83AA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line="226" w:lineRule="auto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spacing w:line="226" w:lineRule="auto"/>
        <w:ind w:firstLine="740"/>
        <w:jc w:val="both"/>
      </w:pPr>
      <w:r>
        <w:t xml:space="preserve">Настоящие Методические </w:t>
      </w:r>
      <w:r>
        <w:t>рекомендации по проведению оценки эффективности и результативности бюджетных расходов в сфере закупок (далее по тексту - Методические рекомендации) разработаны в соответствии с Положением о Контрольно-счетной палате муниципального образования городского ок</w:t>
      </w:r>
      <w:r>
        <w:t xml:space="preserve">руга «Ухта», утвержденным решением Совета МОГО «Ухта» от 28.09.2011 № 66, Регламентом Контрольно-счетной палаты МОГО «Ухта», утвержденным приказом председателя Контрольно-счетной палаты МОГО «Ухта» от 22.08.2013 № 35/ПД, с учетом Методических рекомендаций </w:t>
      </w:r>
      <w:r>
        <w:t>по проведению оценки эффективности и результативности бюджетных расходов в сфере закупок, утвержденных решением Президиума Союза МКСО от 14.09.2017 № 5 (56).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line="228" w:lineRule="auto"/>
        <w:ind w:firstLine="740"/>
        <w:jc w:val="both"/>
      </w:pPr>
      <w:r>
        <w:t>Целью Методических рекомендаций является установление рекомендуемых для выполнения методов (способ</w:t>
      </w:r>
      <w:r>
        <w:t>ов), процедур, применяемых в процессе осуществления Контрольно-счетной палатой оценки эффективности и результативности бюджетных расходов в сфере закупок.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21"/>
        </w:tabs>
        <w:spacing w:line="228" w:lineRule="auto"/>
        <w:ind w:firstLine="740"/>
        <w:jc w:val="both"/>
      </w:pPr>
      <w:r>
        <w:t>Задачами Методических рекомендаций являются: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line="228" w:lineRule="auto"/>
        <w:ind w:firstLine="740"/>
        <w:jc w:val="both"/>
      </w:pPr>
      <w:r>
        <w:t>определение терминов и понятий;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line="223" w:lineRule="auto"/>
        <w:ind w:firstLine="740"/>
        <w:jc w:val="both"/>
      </w:pPr>
      <w:r>
        <w:t xml:space="preserve">закрепление основных </w:t>
      </w:r>
      <w:r>
        <w:t>принципов и механизмов оценки эффективности и результативности бюджетных расходов в сфере закупок;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firstLine="740"/>
        <w:jc w:val="both"/>
      </w:pPr>
      <w:r>
        <w:t>разработка перечня показателей для проведения оценки эффективности, результативности в сфере закупок.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line="221" w:lineRule="auto"/>
        <w:ind w:firstLine="740"/>
        <w:jc w:val="both"/>
      </w:pPr>
      <w:r>
        <w:t>Осуществление мероприятий по оценке эффективности и рез</w:t>
      </w:r>
      <w:r>
        <w:t>ультативности расходов на закупки может осуществляться как в рамках контрольных, так и экспертно</w:t>
      </w:r>
      <w:r>
        <w:softHyphen/>
        <w:t>аналитических мероприятий, а также может являться как самостоятельным предметом мероприятия, так и отдельным вопросом мероприятия.</w:t>
      </w:r>
    </w:p>
    <w:p w:rsidR="00F66966" w:rsidRDefault="00C83AA0">
      <w:pPr>
        <w:pStyle w:val="1"/>
        <w:shd w:val="clear" w:color="auto" w:fill="auto"/>
        <w:spacing w:after="360" w:line="228" w:lineRule="auto"/>
        <w:ind w:firstLine="740"/>
        <w:jc w:val="both"/>
      </w:pPr>
      <w:r>
        <w:t>Кроме этого, в зависимости о</w:t>
      </w:r>
      <w:r>
        <w:t>т целей мероприятия может определяться эффективность и результативность конкретной закупки товара, работы услуги или всех закупок, совершенных объектом мероприятия, а также эффективность и результативность закупок определенных групп товаров (работ, услуг),</w:t>
      </w:r>
      <w:r>
        <w:t xml:space="preserve"> закупок, произведенных в рамках реализации конкретной программы, мероприятия и т.д.</w:t>
      </w:r>
    </w:p>
    <w:p w:rsidR="006F3D03" w:rsidRDefault="00C83AA0" w:rsidP="006F3D0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</w:pPr>
      <w:bookmarkStart w:id="2" w:name="bookmark2"/>
      <w:bookmarkStart w:id="3" w:name="bookmark3"/>
      <w:r>
        <w:t>Источники информации при проведении оценки</w:t>
      </w:r>
      <w:r>
        <w:br/>
        <w:t>результативности и эффективности в сфере закупок</w:t>
      </w:r>
      <w:bookmarkEnd w:id="2"/>
      <w:bookmarkEnd w:id="3"/>
    </w:p>
    <w:p w:rsidR="006F3D03" w:rsidRDefault="006F3D03" w:rsidP="006F3D03">
      <w:pPr>
        <w:pStyle w:val="11"/>
        <w:keepNext/>
        <w:keepLines/>
        <w:shd w:val="clear" w:color="auto" w:fill="auto"/>
        <w:tabs>
          <w:tab w:val="left" w:pos="749"/>
        </w:tabs>
        <w:jc w:val="left"/>
      </w:pPr>
    </w:p>
    <w:p w:rsidR="00F66966" w:rsidRDefault="00C83AA0">
      <w:pPr>
        <w:pStyle w:val="1"/>
        <w:shd w:val="clear" w:color="auto" w:fill="auto"/>
        <w:ind w:firstLine="740"/>
        <w:jc w:val="both"/>
      </w:pPr>
      <w:r>
        <w:t>При проведении оценки результативности и эффективности в сфере закупок рекоменд</w:t>
      </w:r>
      <w:r>
        <w:t>уется использовать следующие источники информации;</w:t>
      </w:r>
    </w:p>
    <w:p w:rsidR="00F66966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line="223" w:lineRule="auto"/>
        <w:ind w:firstLine="740"/>
        <w:jc w:val="both"/>
      </w:pPr>
      <w:r>
        <w:t xml:space="preserve">законодательство о контрактной системе, включая 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t>(далее - Закон № 44-ФЗ) и иные нормативные правовые акты о контрактной системе в сфере закупок;</w:t>
      </w:r>
    </w:p>
    <w:p w:rsidR="00F66966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spacing w:line="221" w:lineRule="auto"/>
        <w:ind w:firstLine="760"/>
        <w:jc w:val="both"/>
      </w:pPr>
      <w:r>
        <w:lastRenderedPageBreak/>
        <w:t>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</w:t>
      </w:r>
      <w:r>
        <w:t>раты на обеспечение функций муниципальных органов (включая подведомственные казенные учреждения);</w:t>
      </w:r>
    </w:p>
    <w:p w:rsidR="00F66966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26" w:lineRule="auto"/>
        <w:ind w:firstLine="760"/>
        <w:jc w:val="both"/>
      </w:pPr>
      <w:r>
        <w:t>внутренние документы заказчиков;</w:t>
      </w:r>
    </w:p>
    <w:p w:rsidR="00F66966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spacing w:line="226" w:lineRule="auto"/>
        <w:ind w:firstLine="720"/>
        <w:jc w:val="both"/>
      </w:pPr>
      <w:r>
        <w:t>единая информационная система в сфере закупок (далее - ЕИС), в том числе: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line="226" w:lineRule="auto"/>
        <w:ind w:firstLine="760"/>
        <w:jc w:val="both"/>
      </w:pPr>
      <w:r>
        <w:t>планы закупок;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line="226" w:lineRule="auto"/>
        <w:ind w:firstLine="760"/>
        <w:jc w:val="both"/>
      </w:pPr>
      <w:r>
        <w:t>планы-графики закупок;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18" w:lineRule="auto"/>
        <w:ind w:firstLine="760"/>
        <w:jc w:val="both"/>
      </w:pPr>
      <w:r>
        <w:t>извещения о з</w:t>
      </w:r>
      <w:r>
        <w:t>акупках, документация о закупках, протоколы определения поставщиков (подрядчиков, исполнителей) и прочие документы, составляемые в ходе осуществления закупки;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line="226" w:lineRule="auto"/>
        <w:ind w:firstLine="760"/>
        <w:jc w:val="both"/>
      </w:pPr>
      <w:r>
        <w:t>реестр контрактов;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23" w:lineRule="auto"/>
        <w:ind w:firstLine="760"/>
        <w:jc w:val="both"/>
      </w:pPr>
      <w:r>
        <w:t>каталоги товаров, работ, услуг для обеспечения государственных и муниципальных</w:t>
      </w:r>
      <w:r>
        <w:t xml:space="preserve"> нужд;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26" w:lineRule="auto"/>
        <w:ind w:firstLine="760"/>
        <w:jc w:val="both"/>
      </w:pPr>
      <w: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line="226" w:lineRule="auto"/>
        <w:ind w:firstLine="760"/>
        <w:jc w:val="both"/>
      </w:pPr>
      <w:r>
        <w:t>отчеты заказчиков, предусмотренные Законом № 44-ФЗ</w:t>
      </w:r>
      <w:r>
        <w:t>;</w:t>
      </w:r>
    </w:p>
    <w:p w:rsidR="00F66966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094"/>
        </w:tabs>
        <w:spacing w:line="226" w:lineRule="auto"/>
        <w:ind w:firstLine="760"/>
        <w:jc w:val="both"/>
      </w:pPr>
      <w:r>
        <w:t xml:space="preserve">документы, подтверждающие поставку товаров, выполнение работ, оказание услуг, в том числе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</w:t>
      </w:r>
      <w:r>
        <w:t>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</w:p>
    <w:p w:rsidR="00F66966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26" w:lineRule="auto"/>
        <w:ind w:firstLine="760"/>
        <w:jc w:val="both"/>
      </w:pPr>
      <w:r>
        <w:t>электронные базы органов исполнительной в</w:t>
      </w:r>
      <w:r>
        <w:t>ласти;</w:t>
      </w:r>
    </w:p>
    <w:p w:rsidR="00F66966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26" w:lineRule="auto"/>
        <w:ind w:firstLine="760"/>
        <w:jc w:val="both"/>
      </w:pPr>
      <w:r>
        <w:t>интернет-сайты компаний-производителей товаров, работ, услуг;</w:t>
      </w:r>
    </w:p>
    <w:p w:rsidR="00F66966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26" w:lineRule="auto"/>
        <w:ind w:firstLine="760"/>
        <w:jc w:val="both"/>
      </w:pPr>
      <w:r>
        <w:t>иная информация (документы, сведения).</w:t>
      </w:r>
    </w:p>
    <w:p w:rsidR="00F66966" w:rsidRDefault="00C83AA0">
      <w:pPr>
        <w:pStyle w:val="1"/>
        <w:shd w:val="clear" w:color="auto" w:fill="auto"/>
        <w:spacing w:after="360" w:line="228" w:lineRule="auto"/>
        <w:ind w:firstLine="760"/>
        <w:jc w:val="both"/>
      </w:pPr>
      <w:r>
        <w:t>В ходе проведения оценки результативности и эффективности закупок могут использоваться одновременно несколько источников информации, имеющих непосре</w:t>
      </w:r>
      <w:r>
        <w:t>дственное отношение к предмету и объекту аудита (контроля).</w:t>
      </w:r>
    </w:p>
    <w:p w:rsidR="00F66966" w:rsidRDefault="00C83AA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line="226" w:lineRule="auto"/>
      </w:pPr>
      <w:bookmarkStart w:id="4" w:name="bookmark4"/>
      <w:bookmarkStart w:id="5" w:name="bookmark5"/>
      <w:r>
        <w:t>Основные понятия</w:t>
      </w:r>
      <w:bookmarkEnd w:id="4"/>
      <w:bookmarkEnd w:id="5"/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line="226" w:lineRule="auto"/>
        <w:ind w:firstLine="760"/>
        <w:jc w:val="both"/>
      </w:pPr>
      <w:r>
        <w:t xml:space="preserve">Под результативностью расходов на закупки понимается степень достижения заданных целей обеспечения муниципальных нужд (наличие товаров, работ и услуг в запланированном количестве </w:t>
      </w:r>
      <w:r>
        <w:t>(объеме) и качестве) и целей осуществления закупок.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spacing w:after="360" w:line="226" w:lineRule="auto"/>
        <w:ind w:firstLine="760"/>
        <w:jc w:val="both"/>
      </w:pPr>
      <w:r>
        <w:t>Под эффективностью расходов на закупки понимается использование бюджетных средств, обеспечивающее лучшие условия исполнения контракта по достижению запланированных целей осуществления закупок.</w:t>
      </w:r>
    </w:p>
    <w:p w:rsidR="00F66966" w:rsidRDefault="00C83AA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line="226" w:lineRule="auto"/>
      </w:pPr>
      <w:bookmarkStart w:id="6" w:name="bookmark6"/>
      <w:bookmarkStart w:id="7" w:name="bookmark7"/>
      <w:r>
        <w:t>Оценка эффе</w:t>
      </w:r>
      <w:r>
        <w:t>ктивности закупок</w:t>
      </w:r>
      <w:bookmarkEnd w:id="6"/>
      <w:bookmarkEnd w:id="7"/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23"/>
        </w:tabs>
        <w:spacing w:line="228" w:lineRule="auto"/>
        <w:ind w:firstLine="760"/>
        <w:jc w:val="both"/>
      </w:pPr>
      <w:r>
        <w:t>Оценка эффективности включает в себя анализ полученной экономии и обеспечение заказчиком должного уровня конкуренции.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>При оценке эффективности расходов на закупки применяются следующие показатели экономии: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33" w:lineRule="auto"/>
        <w:ind w:firstLine="760"/>
        <w:jc w:val="both"/>
        <w:sectPr w:rsidR="00F66966">
          <w:headerReference w:type="even" r:id="rId7"/>
          <w:headerReference w:type="default" r:id="rId8"/>
          <w:pgSz w:w="11900" w:h="16840"/>
          <w:pgMar w:top="962" w:right="852" w:bottom="1036" w:left="1022" w:header="0" w:footer="3" w:gutter="0"/>
          <w:pgNumType w:start="1"/>
          <w:cols w:space="720"/>
          <w:noEndnote/>
          <w:docGrid w:linePitch="360"/>
        </w:sectPr>
      </w:pPr>
      <w:r>
        <w:t xml:space="preserve">потенциальная экономия бюджетных средств на стадии формирования и обоснования начальных (максимальных) цен контрактов - </w:t>
      </w:r>
      <w:r>
        <w:t>определяется как разница между начальными (максимальными) ценами контрактов в плане-графике закупок и</w:t>
      </w:r>
    </w:p>
    <w:p w:rsidR="00F66966" w:rsidRDefault="00C83AA0">
      <w:pPr>
        <w:pStyle w:val="1"/>
        <w:shd w:val="clear" w:color="auto" w:fill="auto"/>
        <w:spacing w:line="223" w:lineRule="auto"/>
        <w:ind w:firstLine="9820"/>
        <w:jc w:val="both"/>
      </w:pPr>
      <w:r>
        <w:lastRenderedPageBreak/>
        <w:t>3 средними ценами контрактов, установленными другими заказчиками на однородные товары, работы, услуги, либо среднерыночными ценами контракта на однородные</w:t>
      </w:r>
      <w:r>
        <w:t xml:space="preserve"> товары, работы, услуги (с учетом сопоставимых условий поставок товаров, выполнения работ, оказания услуг, включая объем закупки, гарантийные обязательства, срок годности и т. п.);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spacing w:line="226" w:lineRule="auto"/>
        <w:ind w:firstLine="740"/>
        <w:jc w:val="both"/>
      </w:pPr>
      <w:r>
        <w:t>экономия бюджетных средств в процессе определения поставщиков (исполнителей</w:t>
      </w:r>
      <w:r>
        <w:t>, подрядчиков) - это снижение начальной (максимальной) цены контрактов относительно цены заключенных контрактов;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spacing w:line="223" w:lineRule="auto"/>
        <w:ind w:firstLine="740"/>
        <w:jc w:val="both"/>
      </w:pPr>
      <w:r>
        <w:t xml:space="preserve">экономия бюджетных средств, полученная по результатам осуществления закупок, определяется (рассчитывается) в качестве дополнительной выгоды, в </w:t>
      </w:r>
      <w:r>
        <w:t>том числе за счет закупок инновационной и высокотехнологичной продукции (дополнительные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</w:t>
      </w:r>
      <w:r>
        <w:t>рок гарантийного обслуживания и др.);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spacing w:line="223" w:lineRule="auto"/>
        <w:ind w:firstLine="740"/>
        <w:jc w:val="both"/>
      </w:pPr>
      <w:r>
        <w:t>экономия бюджетных средств при исполнении контрактов - это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</w:t>
      </w:r>
      <w:r>
        <w:t>, оказываемой услуги и иных условий контракта.</w:t>
      </w:r>
    </w:p>
    <w:p w:rsidR="00F66966" w:rsidRDefault="00C83AA0">
      <w:pPr>
        <w:pStyle w:val="1"/>
        <w:shd w:val="clear" w:color="auto" w:fill="auto"/>
        <w:spacing w:line="226" w:lineRule="auto"/>
        <w:ind w:firstLine="740"/>
        <w:jc w:val="both"/>
      </w:pPr>
      <w:r>
        <w:t>Абсолютный объем экономии (в рублях) за соответствующий период рассчитывается как разница между общей суммой начальных (максимальных) цен заключенных контрактов и фактической стоимостью данных контрактов с уче</w:t>
      </w:r>
      <w:r>
        <w:t>том затрат на организацию и проведение процедур закупок (если такие затраты имеются).</w:t>
      </w:r>
    </w:p>
    <w:p w:rsidR="00F66966" w:rsidRDefault="00C83AA0">
      <w:pPr>
        <w:pStyle w:val="1"/>
        <w:shd w:val="clear" w:color="auto" w:fill="auto"/>
        <w:spacing w:line="221" w:lineRule="auto"/>
        <w:ind w:firstLine="740"/>
        <w:jc w:val="both"/>
      </w:pPr>
      <w:r>
        <w:t>Относительный объем экономии (в процентах) за соответствующий период рассчитывается как отношение абсолютной экономии к общей сумме начальных (максимальных) цен контракто</w:t>
      </w:r>
      <w:r>
        <w:t>в.</w:t>
      </w:r>
    </w:p>
    <w:p w:rsidR="00F66966" w:rsidRDefault="00C83AA0">
      <w:pPr>
        <w:pStyle w:val="1"/>
        <w:shd w:val="clear" w:color="auto" w:fill="auto"/>
        <w:spacing w:line="223" w:lineRule="auto"/>
        <w:ind w:firstLine="740"/>
        <w:jc w:val="both"/>
      </w:pPr>
      <w:r>
        <w:t>В зависимости от целей мероприятия определение данных показателей возможно как в целом по объекту аудита (контроля) за отчетный период, так и по конкретной закупке (группе закупок).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325"/>
        </w:tabs>
        <w:spacing w:line="230" w:lineRule="auto"/>
        <w:ind w:firstLine="740"/>
        <w:jc w:val="both"/>
      </w:pPr>
      <w:r>
        <w:t xml:space="preserve">В рамках анализа и оценки эффективности расходов на закупки </w:t>
      </w:r>
      <w:r>
        <w:t>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F66966" w:rsidRDefault="00C83AA0">
      <w:pPr>
        <w:pStyle w:val="1"/>
        <w:shd w:val="clear" w:color="auto" w:fill="auto"/>
        <w:spacing w:line="228" w:lineRule="auto"/>
        <w:ind w:firstLine="740"/>
        <w:jc w:val="both"/>
      </w:pPr>
      <w:r>
        <w:t>При анализе конкуренции при осуществлении закупок рекомендуется применять следующие показатели: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spacing w:line="228" w:lineRule="auto"/>
        <w:ind w:firstLine="740"/>
        <w:jc w:val="both"/>
      </w:pPr>
      <w:r>
        <w:t>среднее количе</w:t>
      </w:r>
      <w:r>
        <w:t>ство поданных заявок на одну закупку - это отношение общего количества заявок, поданных участниками, к общему количеству процедур закупок;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spacing w:line="230" w:lineRule="auto"/>
        <w:ind w:firstLine="740"/>
        <w:jc w:val="both"/>
      </w:pPr>
      <w:r>
        <w:t xml:space="preserve">среднее количество допущенных заявок на одну закупку - это отношение общего количества заявок участников, допущенных </w:t>
      </w:r>
      <w:r>
        <w:t>комиссией заказчика к процедурам закупок, к общему количеству процедур закупок;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spacing w:line="230" w:lineRule="auto"/>
        <w:ind w:firstLine="740"/>
        <w:jc w:val="both"/>
      </w:pPr>
      <w:r>
        <w:t>доля закупок у единственного поставщика (подрядчика, исполнителя) - это отношение закупок, осуществленных в соответствии со статьей 93 Закона № 44-ФЗ, к общему объему закупок (</w:t>
      </w:r>
      <w:r>
        <w:t>в стоимостном выражении).</w:t>
      </w:r>
    </w:p>
    <w:p w:rsidR="00F66966" w:rsidRDefault="00C83AA0">
      <w:pPr>
        <w:pStyle w:val="1"/>
        <w:shd w:val="clear" w:color="auto" w:fill="auto"/>
        <w:spacing w:line="228" w:lineRule="auto"/>
        <w:ind w:firstLine="740"/>
        <w:jc w:val="both"/>
      </w:pPr>
      <w:r>
        <w:t>После оценки данных показателей возможно их сравнение со средними по Российской Федерации и (или) региону (информация Росстата в ЕИС).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740"/>
        <w:jc w:val="both"/>
      </w:pPr>
      <w:r>
        <w:t xml:space="preserve">В ходе мероприятия могут быть установлены следующие действия заказчика, которые могут привести </w:t>
      </w:r>
      <w:r>
        <w:t>к ограничению конкуренции: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line="223" w:lineRule="auto"/>
        <w:ind w:firstLine="740"/>
        <w:jc w:val="both"/>
      </w:pPr>
      <w:r>
        <w:t>искусственное укрупнение или дробление лотов;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spacing w:line="223" w:lineRule="auto"/>
        <w:ind w:firstLine="740"/>
        <w:jc w:val="both"/>
      </w:pPr>
      <w:r>
        <w:t>установление при проведении конкурентных процедур необоснованно коротких сроков выполнения обязательств;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spacing w:line="223" w:lineRule="auto"/>
        <w:ind w:firstLine="740"/>
        <w:jc w:val="both"/>
        <w:sectPr w:rsidR="00F66966">
          <w:pgSz w:w="11900" w:h="16840"/>
          <w:pgMar w:top="702" w:right="847" w:bottom="622" w:left="1025" w:header="0" w:footer="3" w:gutter="0"/>
          <w:cols w:space="720"/>
          <w:noEndnote/>
          <w:docGrid w:linePitch="360"/>
        </w:sectPr>
      </w:pPr>
      <w:r>
        <w:t xml:space="preserve">объединение в предмет закупки товаров, работ, услуг </w:t>
      </w:r>
      <w:r>
        <w:t>технологически и функционально не связанных между собой;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jc w:val="both"/>
      </w:pPr>
      <w:r>
        <w:lastRenderedPageBreak/>
        <w:t>излишняя детализация объекта закупки.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line="223" w:lineRule="auto"/>
        <w:ind w:firstLine="740"/>
        <w:jc w:val="both"/>
      </w:pPr>
      <w:r>
        <w:t>При выявлении фактов ограничения конкуренции необходимо оценивать структуру контрагентов и возможную их аф</w:t>
      </w:r>
      <w:r>
        <w:t>илирован</w:t>
      </w:r>
      <w:r w:rsidR="002D198B">
        <w:t>н</w:t>
      </w:r>
      <w:r>
        <w:t>ость.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line="216" w:lineRule="auto"/>
        <w:ind w:firstLine="740"/>
        <w:jc w:val="both"/>
      </w:pPr>
      <w:r>
        <w:t>Ориентировочные критерии определения эфф</w:t>
      </w:r>
      <w:r>
        <w:t>ективности закупок приведены в Приложении № 1.</w:t>
      </w:r>
    </w:p>
    <w:p w:rsidR="00F66966" w:rsidRDefault="00C83AA0">
      <w:pPr>
        <w:pStyle w:val="1"/>
        <w:shd w:val="clear" w:color="auto" w:fill="auto"/>
        <w:spacing w:line="228" w:lineRule="auto"/>
        <w:ind w:firstLine="740"/>
        <w:jc w:val="both"/>
      </w:pPr>
      <w:r>
        <w:t>При этом, при формировании выводов, необходимо учитывать специфику деятельности объекта контроля, структуру его закупок и прочие факторы. Кроме этого, существенное снижение начальной (максимальной) цены контра</w:t>
      </w:r>
      <w:r>
        <w:t>кта в результате той или иной закупки может являться следствием низкого качества ее обоснования.</w:t>
      </w:r>
    </w:p>
    <w:p w:rsidR="00F66966" w:rsidRDefault="00C83AA0">
      <w:pPr>
        <w:pStyle w:val="1"/>
        <w:shd w:val="clear" w:color="auto" w:fill="auto"/>
        <w:spacing w:line="221" w:lineRule="auto"/>
        <w:ind w:firstLine="740"/>
        <w:jc w:val="both"/>
      </w:pPr>
      <w:r>
        <w:t>При оценке уровня конкуренции необходимо учитывать наличие изначально неконкурентных закупок (наличие ограниченного числа производителей и продавцов, отсутстви</w:t>
      </w:r>
      <w:r>
        <w:t>е на рынке поставщиков, подрядчиков, исполнителей, способных выполнить контрактные обязательства).</w:t>
      </w:r>
    </w:p>
    <w:p w:rsidR="00F66966" w:rsidRDefault="00C83AA0">
      <w:pPr>
        <w:pStyle w:val="1"/>
        <w:shd w:val="clear" w:color="auto" w:fill="auto"/>
        <w:spacing w:after="400" w:line="223" w:lineRule="auto"/>
        <w:ind w:firstLine="740"/>
        <w:jc w:val="both"/>
      </w:pPr>
      <w:r>
        <w:t xml:space="preserve">Анализ полученных показателей целесообразно осуществлять в динамике (за несколько лет) с возможным установлением причин позитивных и негативных изменений </w:t>
      </w:r>
      <w:r>
        <w:t>показателей.</w:t>
      </w:r>
    </w:p>
    <w:p w:rsidR="00F66966" w:rsidRDefault="00C83AA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</w:pPr>
      <w:bookmarkStart w:id="8" w:name="bookmark8"/>
      <w:bookmarkStart w:id="9" w:name="bookmark9"/>
      <w:r>
        <w:t>Оценка результативности закупок</w:t>
      </w:r>
      <w:bookmarkEnd w:id="8"/>
      <w:bookmarkEnd w:id="9"/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740"/>
        <w:jc w:val="both"/>
      </w:pPr>
      <w:r>
        <w:t>Оценка результативности расходов на закупки включает в себя как определение экономической результативности, так и достигнутого социально- экономического эффекта.</w:t>
      </w:r>
    </w:p>
    <w:p w:rsidR="00F66966" w:rsidRDefault="00C83AA0">
      <w:pPr>
        <w:pStyle w:val="1"/>
        <w:shd w:val="clear" w:color="auto" w:fill="auto"/>
        <w:spacing w:after="0"/>
        <w:ind w:firstLine="740"/>
        <w:jc w:val="both"/>
      </w:pPr>
      <w:r>
        <w:t>Экономическая результативность определяется путем</w:t>
      </w:r>
      <w:r>
        <w:t xml:space="preserve"> сравнения достигнутых и запланированных экономических результатов использования бюджетных средств, которые выступают в виде конкретных товаров, работ, услуг.</w:t>
      </w:r>
    </w:p>
    <w:p w:rsidR="00F66966" w:rsidRDefault="00C83AA0">
      <w:pPr>
        <w:pStyle w:val="1"/>
        <w:shd w:val="clear" w:color="auto" w:fill="auto"/>
        <w:spacing w:after="0"/>
        <w:ind w:firstLine="740"/>
        <w:jc w:val="both"/>
      </w:pPr>
      <w:r>
        <w:t>Социально-экономический эффект использования бюджетных средств определяется на основе анализа сте</w:t>
      </w:r>
      <w:r>
        <w:t>пени удовлетворения муниципальных нужд и достижения установленных целей осуществления закупок, на которые были использованы бюджетные средства.</w:t>
      </w:r>
    </w:p>
    <w:p w:rsidR="00F66966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after="0"/>
        <w:ind w:firstLine="740"/>
        <w:jc w:val="both"/>
      </w:pPr>
      <w:r>
        <w:t>При оценке результативности закупки сопоставляются данные о планируемых показателях закупки с фактическими харак</w:t>
      </w:r>
      <w:r>
        <w:t>теристиками товара.</w:t>
      </w:r>
    </w:p>
    <w:p w:rsidR="00F66966" w:rsidRDefault="00C83AA0">
      <w:pPr>
        <w:pStyle w:val="1"/>
        <w:shd w:val="clear" w:color="auto" w:fill="auto"/>
        <w:spacing w:after="0"/>
        <w:ind w:firstLine="740"/>
        <w:jc w:val="both"/>
      </w:pPr>
      <w:r>
        <w:t>В рамках документального контроля производится анализ соответствия показателей товара (работы, услуги) установленным требованиям, целям закупки. Анализируются документы, содержащие требуемые характеристики товара (работы, услуги), такие</w:t>
      </w:r>
      <w:r>
        <w:t xml:space="preserve"> как планы закупок, планы-графики-закупок, документация о закупке, условия контрактов и др., а также документы, подтверждающие поступление товара (выполнения работ, оказания услуг) и фактические характеристики, такие как первичные бухгалтерские документы, </w:t>
      </w:r>
      <w:r>
        <w:t>техническая документация и т.п.</w:t>
      </w:r>
    </w:p>
    <w:p w:rsidR="00F66966" w:rsidRDefault="00C83AA0">
      <w:pPr>
        <w:pStyle w:val="1"/>
        <w:shd w:val="clear" w:color="auto" w:fill="auto"/>
        <w:spacing w:after="260"/>
        <w:ind w:firstLine="740"/>
        <w:jc w:val="both"/>
      </w:pPr>
      <w:r>
        <w:t>В рамках фактического контроля могут быть использованы следующие методы: осмотр поставленного товара, результата оказанных услуг, обследование выполненных работ, опрос сотрудников, непосредственно использующих результат заку</w:t>
      </w:r>
      <w:r>
        <w:t>пки, экспертная оценка результата закупки и др.</w:t>
      </w:r>
    </w:p>
    <w:p w:rsidR="00F66966" w:rsidRDefault="00C83AA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</w:pPr>
      <w:bookmarkStart w:id="10" w:name="bookmark10"/>
      <w:bookmarkStart w:id="11" w:name="bookmark11"/>
      <w:r>
        <w:t>Факты неэффективного</w:t>
      </w:r>
      <w:bookmarkEnd w:id="10"/>
      <w:bookmarkEnd w:id="11"/>
    </w:p>
    <w:p w:rsidR="00F66966" w:rsidRDefault="00C83AA0">
      <w:pPr>
        <w:pStyle w:val="11"/>
        <w:keepNext/>
        <w:keepLines/>
        <w:shd w:val="clear" w:color="auto" w:fill="auto"/>
      </w:pPr>
      <w:bookmarkStart w:id="12" w:name="bookmark12"/>
      <w:bookmarkStart w:id="13" w:name="bookmark13"/>
      <w:r>
        <w:t>и нерезультативного расходования средств</w:t>
      </w:r>
      <w:bookmarkEnd w:id="12"/>
      <w:bookmarkEnd w:id="13"/>
    </w:p>
    <w:p w:rsidR="00F66966" w:rsidRDefault="00C83AA0">
      <w:pPr>
        <w:pStyle w:val="1"/>
        <w:shd w:val="clear" w:color="auto" w:fill="auto"/>
        <w:spacing w:line="254" w:lineRule="auto"/>
        <w:ind w:firstLine="740"/>
        <w:jc w:val="both"/>
      </w:pPr>
      <w:r>
        <w:t>В ходе мероприятия возможно установление следующих фактов неэффективного и нерезультативного расходования средств: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ind w:firstLine="740"/>
        <w:jc w:val="both"/>
      </w:pPr>
      <w:r>
        <w:t xml:space="preserve">оплата выполненных работ, </w:t>
      </w:r>
      <w:r>
        <w:t>оказанных услуг, поставленных товаров, не соответствующих целям и задачам муниципальных программ;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59"/>
        </w:tabs>
        <w:spacing w:after="0"/>
        <w:ind w:firstLine="720"/>
        <w:jc w:val="both"/>
      </w:pPr>
      <w:r>
        <w:t>уничтожение результатов работ последующими работами;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firstLine="720"/>
        <w:jc w:val="both"/>
      </w:pPr>
      <w:r>
        <w:lastRenderedPageBreak/>
        <w:t>неиспользование результата закупки, в том числе отсутствие потребности в использовании результатов выполн</w:t>
      </w:r>
      <w:r>
        <w:t>енных работ;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/>
        <w:ind w:firstLine="720"/>
        <w:jc w:val="both"/>
      </w:pPr>
      <w:r>
        <w:t>выполненные изыскательские работы и разработанная проектно-сметная документация на строительство и реконструкцию объектов государственной (муниципальной) собственности, не использованы по назначению, приостановка проектных работ, строительства</w:t>
      </w:r>
      <w:r>
        <w:t xml:space="preserve"> и консервация объектов;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firstLine="720"/>
        <w:jc w:val="both"/>
      </w:pPr>
      <w:r>
        <w:t>оплата товаров, работ и услуг, выполненных сотрудником государственного (муниципального) учреждения по гражданско-правовому договору при наличии у него аналогичных должностных обязанностей;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firstLine="720"/>
        <w:jc w:val="both"/>
      </w:pPr>
      <w:r>
        <w:t xml:space="preserve">оплата штрафных санкций, государственных </w:t>
      </w:r>
      <w:r>
        <w:t>пошлин, судебных издержек вследствие нарушения заказчиком обязательств по контракту;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firstLine="720"/>
        <w:jc w:val="both"/>
      </w:pPr>
      <w:r>
        <w:t>возмездное устранение недостатков товаров, работ или услуг в период действия гарантийного обязательства исполнителя;</w:t>
      </w:r>
    </w:p>
    <w:p w:rsidR="00F66966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firstLine="720"/>
        <w:jc w:val="both"/>
      </w:pPr>
      <w:r>
        <w:t>приобретение товаров (работ, услуг) по завышенным цена</w:t>
      </w:r>
      <w:r>
        <w:t>м в результате неправильного применения сметных норм, расценок.</w:t>
      </w:r>
    </w:p>
    <w:p w:rsidR="00F66966" w:rsidRDefault="00C83AA0">
      <w:pPr>
        <w:pStyle w:val="1"/>
        <w:shd w:val="clear" w:color="auto" w:fill="auto"/>
        <w:spacing w:after="0"/>
        <w:ind w:firstLine="720"/>
        <w:jc w:val="both"/>
        <w:sectPr w:rsidR="00F66966">
          <w:headerReference w:type="even" r:id="rId9"/>
          <w:headerReference w:type="default" r:id="rId10"/>
          <w:pgSz w:w="11900" w:h="16840"/>
          <w:pgMar w:top="1007" w:right="853" w:bottom="948" w:left="1020" w:header="0" w:footer="520" w:gutter="0"/>
          <w:cols w:space="720"/>
          <w:noEndnote/>
          <w:docGrid w:linePitch="360"/>
        </w:sectPr>
      </w:pPr>
      <w:r>
        <w:t>Указанный перечень не является исчерпывающим.</w:t>
      </w:r>
    </w:p>
    <w:p w:rsidR="006F3D03" w:rsidRDefault="00C83AA0" w:rsidP="006F3D03">
      <w:pPr>
        <w:pStyle w:val="22"/>
        <w:shd w:val="clear" w:color="auto" w:fill="auto"/>
        <w:spacing w:after="0" w:line="240" w:lineRule="auto"/>
      </w:pPr>
      <w:r>
        <w:lastRenderedPageBreak/>
        <w:t>Приложение № 1</w:t>
      </w:r>
    </w:p>
    <w:p w:rsidR="006F3D03" w:rsidRDefault="00C83AA0" w:rsidP="006F3D03">
      <w:pPr>
        <w:pStyle w:val="22"/>
        <w:shd w:val="clear" w:color="auto" w:fill="auto"/>
        <w:spacing w:after="0" w:line="240" w:lineRule="auto"/>
      </w:pPr>
      <w:r>
        <w:t>к методическим рекомендациям</w:t>
      </w:r>
    </w:p>
    <w:p w:rsidR="006F3D03" w:rsidRDefault="00C83AA0" w:rsidP="006F3D03">
      <w:pPr>
        <w:pStyle w:val="22"/>
        <w:shd w:val="clear" w:color="auto" w:fill="auto"/>
        <w:spacing w:after="0" w:line="240" w:lineRule="auto"/>
      </w:pPr>
      <w:r>
        <w:t xml:space="preserve"> «Оценка эффективности и </w:t>
      </w:r>
    </w:p>
    <w:p w:rsidR="006F3D03" w:rsidRDefault="00C83AA0" w:rsidP="006F3D03">
      <w:pPr>
        <w:pStyle w:val="22"/>
        <w:shd w:val="clear" w:color="auto" w:fill="auto"/>
        <w:spacing w:after="0" w:line="240" w:lineRule="auto"/>
      </w:pPr>
      <w:r>
        <w:t xml:space="preserve">результативности бюджетных </w:t>
      </w:r>
    </w:p>
    <w:p w:rsidR="006F3D03" w:rsidRDefault="00C83AA0" w:rsidP="006F3D03">
      <w:pPr>
        <w:pStyle w:val="22"/>
        <w:shd w:val="clear" w:color="auto" w:fill="auto"/>
        <w:spacing w:after="0" w:line="240" w:lineRule="auto"/>
      </w:pPr>
      <w:r>
        <w:t xml:space="preserve">расходов в сфере закупок» </w:t>
      </w:r>
    </w:p>
    <w:p w:rsidR="00F66966" w:rsidRDefault="00C83AA0" w:rsidP="006F3D03">
      <w:pPr>
        <w:pStyle w:val="22"/>
        <w:shd w:val="clear" w:color="auto" w:fill="auto"/>
        <w:spacing w:after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определения эффективности закупок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2789"/>
        <w:gridCol w:w="4646"/>
        <w:gridCol w:w="2059"/>
        <w:gridCol w:w="2165"/>
        <w:gridCol w:w="2722"/>
      </w:tblGrid>
      <w:tr w:rsidR="00F6696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Критерий определения эффективности закупок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Порядок оценки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Низкая эффективность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Средняя</w:t>
            </w:r>
            <w:r>
              <w:rPr>
                <w:b/>
                <w:bCs/>
                <w:sz w:val="18"/>
                <w:szCs w:val="18"/>
              </w:rPr>
              <w:t xml:space="preserve"> эффективность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Высокая эффективность</w:t>
            </w:r>
          </w:p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43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Экономия бюджетных средств</w:t>
            </w:r>
          </w:p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1786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Потенциальная</w:t>
            </w:r>
            <w:r>
              <w:rPr>
                <w:sz w:val="19"/>
                <w:szCs w:val="19"/>
              </w:rPr>
              <w:tab/>
              <w:t>экономия</w:t>
            </w:r>
          </w:p>
          <w:p w:rsidR="00F66966" w:rsidRDefault="00C83AA0">
            <w:pPr>
              <w:pStyle w:val="a5"/>
              <w:shd w:val="clear" w:color="auto" w:fill="auto"/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бюджетных средств на стадии формирования и обоснования начальных (максимальных) цен контрактов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1584"/>
                <w:tab w:val="left" w:pos="2630"/>
                <w:tab w:val="left" w:pos="3758"/>
              </w:tabs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Определяется как разница между начальными (максимальными) ценами</w:t>
            </w:r>
            <w:r>
              <w:rPr>
                <w:sz w:val="19"/>
                <w:szCs w:val="19"/>
              </w:rPr>
              <w:t xml:space="preserve"> контрактов в плане- графике закупок и средними ценами контрактов, установленных другими заказчиками на однородные товары, работы, услуги, либо среднерыночными ценами контракта на однородные товары, работы, услуги (с учетом сопоставимых</w:t>
            </w:r>
            <w:r>
              <w:rPr>
                <w:sz w:val="19"/>
                <w:szCs w:val="19"/>
              </w:rPr>
              <w:tab/>
              <w:t>условий</w:t>
            </w:r>
            <w:r>
              <w:rPr>
                <w:sz w:val="19"/>
                <w:szCs w:val="19"/>
              </w:rPr>
              <w:tab/>
              <w:t>поставок</w:t>
            </w:r>
            <w:r>
              <w:rPr>
                <w:sz w:val="19"/>
                <w:szCs w:val="19"/>
              </w:rPr>
              <w:tab/>
              <w:t>то</w:t>
            </w:r>
            <w:r>
              <w:rPr>
                <w:sz w:val="19"/>
                <w:szCs w:val="19"/>
              </w:rPr>
              <w:t>варов,</w:t>
            </w:r>
          </w:p>
          <w:p w:rsidR="00F66966" w:rsidRDefault="00C83AA0">
            <w:pPr>
              <w:pStyle w:val="a5"/>
              <w:shd w:val="clear" w:color="auto" w:fill="auto"/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выполнения работ, оказания услуг, включая объем закупки, гарантийные обязательства, срок годности и т. п.).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right" w:pos="1838"/>
              </w:tabs>
              <w:spacing w:after="0"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Установлены существенных расхождения</w:t>
            </w:r>
            <w:r>
              <w:rPr>
                <w:sz w:val="19"/>
                <w:szCs w:val="19"/>
              </w:rPr>
              <w:tab/>
              <w:t>с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right" w:pos="1838"/>
              </w:tabs>
              <w:spacing w:after="0"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ценами</w:t>
            </w:r>
            <w:r>
              <w:rPr>
                <w:sz w:val="19"/>
                <w:szCs w:val="19"/>
              </w:rPr>
              <w:tab/>
              <w:t>на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right" w:pos="1838"/>
              </w:tabs>
              <w:spacing w:after="0"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аналогичные товара в</w:t>
            </w:r>
            <w:r>
              <w:rPr>
                <w:sz w:val="19"/>
                <w:szCs w:val="19"/>
              </w:rPr>
              <w:tab/>
              <w:t>сторону</w:t>
            </w:r>
          </w:p>
          <w:p w:rsidR="00F66966" w:rsidRDefault="00C83AA0">
            <w:pPr>
              <w:pStyle w:val="a5"/>
              <w:shd w:val="clear" w:color="auto" w:fill="auto"/>
              <w:spacing w:after="0"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завышения.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1258"/>
              </w:tabs>
              <w:spacing w:after="0"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НМЦ контракта в плане</w:t>
            </w:r>
            <w:r>
              <w:rPr>
                <w:sz w:val="19"/>
                <w:szCs w:val="19"/>
              </w:rPr>
              <w:tab/>
              <w:t>графике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left" w:pos="878"/>
              </w:tabs>
              <w:spacing w:after="0"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соответствует средним </w:t>
            </w:r>
            <w:r>
              <w:rPr>
                <w:sz w:val="19"/>
                <w:szCs w:val="19"/>
              </w:rPr>
              <w:t>рыночным ценам</w:t>
            </w:r>
            <w:r>
              <w:rPr>
                <w:sz w:val="19"/>
                <w:szCs w:val="19"/>
              </w:rPr>
              <w:tab/>
              <w:t>(отклонения</w:t>
            </w:r>
          </w:p>
          <w:p w:rsidR="00F66966" w:rsidRDefault="00C83AA0">
            <w:pPr>
              <w:pStyle w:val="a5"/>
              <w:shd w:val="clear" w:color="auto" w:fill="auto"/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составляют не более 5% в ту или иную сторону).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Установлены, что НМЦ контракта, предусмотренная планом графиком ниже средних рыночных цен на однородные товары.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left" w:pos="960"/>
                <w:tab w:val="left" w:pos="1421"/>
                <w:tab w:val="right" w:pos="2486"/>
              </w:tabs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Вместе</w:t>
            </w:r>
            <w:r>
              <w:rPr>
                <w:sz w:val="19"/>
                <w:szCs w:val="19"/>
              </w:rPr>
              <w:tab/>
              <w:t>с</w:t>
            </w:r>
            <w:r>
              <w:rPr>
                <w:sz w:val="19"/>
                <w:szCs w:val="19"/>
              </w:rPr>
              <w:tab/>
              <w:t>тем,</w:t>
            </w:r>
            <w:r>
              <w:rPr>
                <w:sz w:val="19"/>
                <w:szCs w:val="19"/>
              </w:rPr>
              <w:tab/>
              <w:t>при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right" w:pos="2477"/>
              </w:tabs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проведении</w:t>
            </w:r>
            <w:r>
              <w:rPr>
                <w:sz w:val="19"/>
                <w:szCs w:val="19"/>
              </w:rPr>
              <w:tab/>
              <w:t>мероприятия</w:t>
            </w:r>
          </w:p>
          <w:p w:rsidR="00F66966" w:rsidRDefault="00C83AA0">
            <w:pPr>
              <w:pStyle w:val="a5"/>
              <w:shd w:val="clear" w:color="auto" w:fill="auto"/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следует учитывать, что </w:t>
            </w:r>
            <w:r>
              <w:rPr>
                <w:sz w:val="19"/>
                <w:szCs w:val="19"/>
              </w:rPr>
              <w:t>существенное расхождение может являться следствием нарушения при определении НМЦ контракта.</w:t>
            </w:r>
          </w:p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1541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Экономия</w:t>
            </w:r>
            <w:r>
              <w:rPr>
                <w:sz w:val="19"/>
                <w:szCs w:val="19"/>
              </w:rPr>
              <w:tab/>
              <w:t>бюджетных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left" w:pos="1171"/>
                <w:tab w:val="left" w:pos="1814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</w:t>
            </w:r>
            <w:r>
              <w:rPr>
                <w:sz w:val="19"/>
                <w:szCs w:val="19"/>
              </w:rPr>
              <w:tab/>
              <w:t>в</w:t>
            </w:r>
            <w:r>
              <w:rPr>
                <w:sz w:val="19"/>
                <w:szCs w:val="19"/>
              </w:rPr>
              <w:tab/>
              <w:t>процессе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left" w:pos="1915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осуществления</w:t>
            </w:r>
            <w:r>
              <w:rPr>
                <w:sz w:val="19"/>
                <w:szCs w:val="19"/>
              </w:rPr>
              <w:tab/>
              <w:t>закупок</w:t>
            </w:r>
          </w:p>
          <w:p w:rsidR="00F66966" w:rsidRDefault="00C83AA0">
            <w:pPr>
              <w:pStyle w:val="a5"/>
              <w:shd w:val="clear" w:color="auto" w:fill="auto"/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(определения поставщиков (исполнителей, подрядчиков).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1546"/>
                <w:tab w:val="left" w:pos="2275"/>
                <w:tab w:val="left" w:pos="3566"/>
              </w:tabs>
              <w:spacing w:after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Оценивается</w:t>
            </w:r>
            <w:r>
              <w:rPr>
                <w:sz w:val="19"/>
                <w:szCs w:val="19"/>
              </w:rPr>
              <w:tab/>
              <w:t>как</w:t>
            </w:r>
            <w:r>
              <w:rPr>
                <w:sz w:val="19"/>
                <w:szCs w:val="19"/>
              </w:rPr>
              <w:tab/>
              <w:t>снижение</w:t>
            </w:r>
            <w:r>
              <w:rPr>
                <w:sz w:val="19"/>
                <w:szCs w:val="19"/>
              </w:rPr>
              <w:tab/>
              <w:t>начальной</w:t>
            </w:r>
          </w:p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(максимальной) цены контрактов относительно цены заключенных контрактов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1637"/>
              </w:tabs>
              <w:spacing w:after="0"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Заключение контракта</w:t>
            </w:r>
            <w:r>
              <w:rPr>
                <w:sz w:val="19"/>
                <w:szCs w:val="19"/>
              </w:rPr>
              <w:tab/>
              <w:t>по</w:t>
            </w:r>
          </w:p>
          <w:p w:rsidR="00F66966" w:rsidRDefault="00C83AA0">
            <w:pPr>
              <w:pStyle w:val="a5"/>
              <w:shd w:val="clear" w:color="auto" w:fill="auto"/>
              <w:spacing w:after="0"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начальной (максимальной цене).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составило до 10 %.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составило более 10%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left" w:pos="955"/>
                <w:tab w:val="left" w:pos="1411"/>
                <w:tab w:val="right" w:pos="2472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Вместе</w:t>
            </w:r>
            <w:r>
              <w:rPr>
                <w:sz w:val="19"/>
                <w:szCs w:val="19"/>
              </w:rPr>
              <w:tab/>
              <w:t>с</w:t>
            </w:r>
            <w:r>
              <w:rPr>
                <w:sz w:val="19"/>
                <w:szCs w:val="19"/>
              </w:rPr>
              <w:tab/>
              <w:t>тем,</w:t>
            </w:r>
            <w:r>
              <w:rPr>
                <w:sz w:val="19"/>
                <w:szCs w:val="19"/>
              </w:rPr>
              <w:tab/>
              <w:t>при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right" w:pos="2482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существенном</w:t>
            </w:r>
            <w:r>
              <w:rPr>
                <w:sz w:val="19"/>
                <w:szCs w:val="19"/>
              </w:rPr>
              <w:tab/>
              <w:t>снижении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right" w:pos="2472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цены контракта в ходе проведения</w:t>
            </w:r>
            <w:r>
              <w:rPr>
                <w:sz w:val="19"/>
                <w:szCs w:val="19"/>
              </w:rPr>
              <w:tab/>
              <w:t>процедуры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right" w:pos="2482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следует</w:t>
            </w:r>
            <w:r>
              <w:rPr>
                <w:sz w:val="19"/>
                <w:szCs w:val="19"/>
              </w:rPr>
              <w:tab/>
              <w:t>учитывать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right" w:pos="2486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соблюдение требований при обосновании</w:t>
            </w:r>
            <w:r>
              <w:rPr>
                <w:sz w:val="19"/>
                <w:szCs w:val="19"/>
              </w:rPr>
              <w:tab/>
              <w:t>НМЦ</w:t>
            </w:r>
          </w:p>
          <w:p w:rsidR="00F66966" w:rsidRDefault="00C83AA0">
            <w:pPr>
              <w:pStyle w:val="a5"/>
              <w:shd w:val="clear" w:color="auto" w:fill="auto"/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контракта.</w:t>
            </w:r>
          </w:p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right" w:pos="2554"/>
              </w:tabs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Дополнительная</w:t>
            </w:r>
            <w:r>
              <w:rPr>
                <w:sz w:val="19"/>
                <w:szCs w:val="19"/>
              </w:rPr>
              <w:tab/>
              <w:t>экономия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right" w:pos="2558"/>
              </w:tabs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бюджетных</w:t>
            </w:r>
            <w:r>
              <w:rPr>
                <w:sz w:val="19"/>
                <w:szCs w:val="19"/>
              </w:rPr>
              <w:tab/>
              <w:t>средств,</w:t>
            </w:r>
          </w:p>
          <w:p w:rsidR="00F66966" w:rsidRDefault="00C83AA0">
            <w:pPr>
              <w:pStyle w:val="a5"/>
              <w:shd w:val="clear" w:color="auto" w:fill="auto"/>
              <w:tabs>
                <w:tab w:val="right" w:pos="2568"/>
              </w:tabs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полученная по результатам осуществления</w:t>
            </w:r>
            <w:r>
              <w:rPr>
                <w:sz w:val="19"/>
                <w:szCs w:val="19"/>
              </w:rPr>
              <w:tab/>
              <w:t>закупок</w:t>
            </w:r>
          </w:p>
          <w:p w:rsidR="00F66966" w:rsidRDefault="00C83AA0">
            <w:pPr>
              <w:pStyle w:val="a5"/>
              <w:shd w:val="clear" w:color="auto" w:fill="auto"/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(определения поставщиков (исполнителей, подрядчиков) и заключения контрактов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950"/>
                <w:tab w:val="left" w:pos="2443"/>
                <w:tab w:val="left" w:pos="3298"/>
              </w:tabs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Определяется (рассчитывается) в качестве дополнительной выгоды, в том числе: за счет закупок инновационной и высокотехнологичной продукции (дополнительные сервисные услуги, более высокие качественные характеристики и функциональные показатели продукции, бо</w:t>
            </w:r>
            <w:r>
              <w:rPr>
                <w:sz w:val="19"/>
                <w:szCs w:val="19"/>
              </w:rPr>
              <w:t>лее низкие последующие эксплуатационные расходы, более</w:t>
            </w:r>
            <w:r>
              <w:rPr>
                <w:sz w:val="19"/>
                <w:szCs w:val="19"/>
              </w:rPr>
              <w:tab/>
              <w:t>длительный</w:t>
            </w:r>
            <w:r>
              <w:rPr>
                <w:sz w:val="19"/>
                <w:szCs w:val="19"/>
              </w:rPr>
              <w:tab/>
              <w:t>срок</w:t>
            </w:r>
            <w:r>
              <w:rPr>
                <w:sz w:val="19"/>
                <w:szCs w:val="19"/>
              </w:rPr>
              <w:tab/>
              <w:t>гарантийного</w:t>
            </w:r>
          </w:p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обслуживания и др.);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F66966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F66966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 w:line="259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наличии указанных фактов.</w:t>
            </w:r>
          </w:p>
        </w:tc>
      </w:tr>
    </w:tbl>
    <w:p w:rsidR="00F66966" w:rsidRDefault="00C83AA0">
      <w:pPr>
        <w:spacing w:line="1" w:lineRule="exact"/>
        <w:rPr>
          <w:sz w:val="2"/>
          <w:szCs w:val="2"/>
        </w:rPr>
      </w:pPr>
      <w:r>
        <w:br w:type="page"/>
      </w:r>
    </w:p>
    <w:p w:rsidR="00F66966" w:rsidRDefault="00C83AA0">
      <w:pPr>
        <w:pStyle w:val="a7"/>
        <w:shd w:val="clear" w:color="auto" w:fill="auto"/>
        <w:ind w:left="7637"/>
      </w:pPr>
      <w: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2789"/>
        <w:gridCol w:w="4666"/>
        <w:gridCol w:w="2050"/>
        <w:gridCol w:w="2165"/>
        <w:gridCol w:w="2722"/>
      </w:tblGrid>
      <w:tr w:rsidR="00F66966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1589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Экономия, сложившаяся по результатам</w:t>
            </w:r>
            <w:r>
              <w:rPr>
                <w:sz w:val="19"/>
                <w:szCs w:val="19"/>
              </w:rPr>
              <w:tab/>
              <w:t>исполнения</w:t>
            </w:r>
          </w:p>
          <w:p w:rsidR="00F66966" w:rsidRDefault="00C83AA0">
            <w:pPr>
              <w:pStyle w:val="a5"/>
              <w:shd w:val="clear" w:color="auto" w:fill="auto"/>
              <w:spacing w:after="0"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контрактов.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8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Определяется как:</w:t>
            </w:r>
          </w:p>
          <w:p w:rsidR="00F66966" w:rsidRDefault="00C83AA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80"/>
              </w:tabs>
              <w:spacing w:after="0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снижение цены контракта без </w:t>
            </w:r>
            <w:r>
              <w:rPr>
                <w:sz w:val="19"/>
                <w:szCs w:val="19"/>
              </w:rPr>
              <w:t>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      </w:r>
          </w:p>
          <w:p w:rsidR="00F66966" w:rsidRDefault="00C83AA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45"/>
                <w:tab w:val="left" w:pos="1730"/>
                <w:tab w:val="left" w:pos="2753"/>
                <w:tab w:val="left" w:pos="3295"/>
              </w:tabs>
              <w:spacing w:after="0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поставка</w:t>
            </w:r>
            <w:r>
              <w:rPr>
                <w:sz w:val="19"/>
                <w:szCs w:val="19"/>
              </w:rPr>
              <w:tab/>
              <w:t>товара</w:t>
            </w:r>
            <w:r>
              <w:rPr>
                <w:sz w:val="19"/>
                <w:szCs w:val="19"/>
              </w:rPr>
              <w:tab/>
              <w:t>с</w:t>
            </w:r>
            <w:r>
              <w:rPr>
                <w:sz w:val="19"/>
                <w:szCs w:val="19"/>
              </w:rPr>
              <w:tab/>
              <w:t>улучшенными</w:t>
            </w:r>
          </w:p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потребительскими свойствами.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F66966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F66966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 наличии </w:t>
            </w:r>
            <w:r>
              <w:rPr>
                <w:sz w:val="19"/>
                <w:szCs w:val="19"/>
              </w:rPr>
              <w:t>указанных фактов</w:t>
            </w:r>
          </w:p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абсолютный объем экономии (в рублях)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рассчитывается как разница между общей суммой начальных (максимальных) цен контрактов и стоимостью заключенных контрактов за вычетом стоимости незаключенных контрактов и затрат на </w:t>
            </w:r>
            <w:r>
              <w:rPr>
                <w:sz w:val="19"/>
                <w:szCs w:val="19"/>
              </w:rPr>
              <w:t>организацию и проведение процедур закупок (если такие затраты имеются)</w:t>
            </w:r>
          </w:p>
        </w:tc>
        <w:tc>
          <w:tcPr>
            <w:tcW w:w="6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Оценивая данные показатели требуется сравнивать их со средними по Российской Федерации и (или) региону согласно информации, приведенной в ЕИС.</w:t>
            </w:r>
          </w:p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2069"/>
              </w:tabs>
              <w:spacing w:after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относительный</w:t>
            </w:r>
            <w:r>
              <w:rPr>
                <w:sz w:val="19"/>
                <w:szCs w:val="19"/>
              </w:rPr>
              <w:tab/>
              <w:t>объем</w:t>
            </w:r>
          </w:p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экономии (в </w:t>
            </w:r>
            <w:r>
              <w:rPr>
                <w:sz w:val="19"/>
                <w:szCs w:val="19"/>
              </w:rPr>
              <w:t>процентах)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рассчитывается как отношение абсолютной экономии к общей сумме начальных (максимальных) цен контрактов)</w:t>
            </w:r>
          </w:p>
        </w:tc>
        <w:tc>
          <w:tcPr>
            <w:tcW w:w="6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66" w:rsidRDefault="00F66966"/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3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 соблюдения заказчиком принципа обеспечения конкуренции</w:t>
            </w:r>
          </w:p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(Оценивая нижеприведенные показатели необходимо исключать из расчетов </w:t>
            </w:r>
            <w:r>
              <w:rPr>
                <w:b/>
                <w:bCs/>
                <w:sz w:val="18"/>
                <w:szCs w:val="18"/>
              </w:rPr>
              <w:t xml:space="preserve">изначально неконкурентные закупки </w:t>
            </w:r>
            <w:r>
              <w:rPr>
                <w:sz w:val="19"/>
                <w:szCs w:val="19"/>
              </w:rPr>
              <w:t>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</w:t>
            </w:r>
            <w:r>
              <w:rPr>
                <w:sz w:val="19"/>
                <w:szCs w:val="19"/>
              </w:rPr>
              <w:t>зательства, например, по крупным централизованным закупкам).</w:t>
            </w:r>
          </w:p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количество поданных заявок на одну закупку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Рассчитывается как отношение общего количества заявок, поданных участниками, к общему количеству процедур закупок.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0-1 заявка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заявки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Более 2 заявок</w:t>
            </w:r>
          </w:p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количество допущенных заявок на одну закупку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66" w:rsidRDefault="00C83AA0">
            <w:pPr>
              <w:pStyle w:val="a5"/>
              <w:shd w:val="clear" w:color="auto" w:fill="auto"/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Рассчитывается как отношение общего количества заявок участников, допущенных комиссией заказчика к процедурам закупок, к общему количеству процедур закупок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0-1 заявка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заявки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Более </w:t>
            </w:r>
            <w:r>
              <w:rPr>
                <w:sz w:val="19"/>
                <w:szCs w:val="19"/>
              </w:rPr>
              <w:t>2 заявок</w:t>
            </w:r>
          </w:p>
        </w:tc>
      </w:tr>
      <w:tr w:rsidR="00F66966">
        <w:tblPrEx>
          <w:tblCellMar>
            <w:top w:w="0" w:type="dxa"/>
            <w:bottom w:w="0" w:type="dxa"/>
          </w:tblCellMar>
        </w:tblPrEx>
        <w:trPr>
          <w:trHeight w:hRule="exact" w:val="30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1128"/>
                <w:tab w:val="left" w:pos="2472"/>
              </w:tabs>
              <w:spacing w:after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</w:t>
            </w:r>
            <w:r>
              <w:rPr>
                <w:sz w:val="19"/>
                <w:szCs w:val="19"/>
              </w:rPr>
              <w:tab/>
              <w:t>закупок</w:t>
            </w:r>
            <w:r>
              <w:rPr>
                <w:sz w:val="19"/>
                <w:szCs w:val="19"/>
              </w:rPr>
              <w:tab/>
              <w:t>у</w:t>
            </w:r>
          </w:p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единственного поставщика (подрядчика, исполнителя)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tabs>
                <w:tab w:val="left" w:pos="1733"/>
                <w:tab w:val="left" w:pos="2405"/>
                <w:tab w:val="left" w:pos="3734"/>
              </w:tabs>
              <w:spacing w:after="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Рассчитывается</w:t>
            </w:r>
            <w:r>
              <w:rPr>
                <w:sz w:val="19"/>
                <w:szCs w:val="19"/>
              </w:rPr>
              <w:tab/>
              <w:t>как</w:t>
            </w:r>
            <w:r>
              <w:rPr>
                <w:sz w:val="19"/>
                <w:szCs w:val="19"/>
              </w:rPr>
              <w:tab/>
              <w:t>отношение</w:t>
            </w:r>
            <w:r>
              <w:rPr>
                <w:sz w:val="19"/>
                <w:szCs w:val="19"/>
              </w:rPr>
              <w:tab/>
              <w:t>закупок,</w:t>
            </w:r>
          </w:p>
          <w:p w:rsidR="00F66966" w:rsidRDefault="00C83AA0">
            <w:pPr>
              <w:pStyle w:val="a5"/>
              <w:shd w:val="clear" w:color="auto" w:fill="auto"/>
              <w:spacing w:after="220"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осуществленных в соответствии со статьей 93 Федерального закона № 44-ФЗ, к общему объему закупок (в стоимостном выражении).</w:t>
            </w:r>
          </w:p>
          <w:p w:rsidR="00F66966" w:rsidRDefault="00C83AA0" w:rsidP="00E97BC1">
            <w:pPr>
              <w:pStyle w:val="a5"/>
              <w:shd w:val="clear" w:color="auto" w:fill="auto"/>
              <w:tabs>
                <w:tab w:val="left" w:pos="1099"/>
                <w:tab w:val="left" w:pos="2270"/>
                <w:tab w:val="right" w:pos="4430"/>
              </w:tabs>
              <w:spacing w:after="0" w:line="252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 оценке </w:t>
            </w:r>
            <w:r>
              <w:rPr>
                <w:sz w:val="19"/>
                <w:szCs w:val="19"/>
              </w:rPr>
              <w:t>уровня конкуренции необходимо учитывать достаточность действий заказчика, а также наличие изначально неконкурентных закупок</w:t>
            </w:r>
            <w:r w:rsidR="00E97BC1">
              <w:rPr>
                <w:sz w:val="19"/>
                <w:szCs w:val="19"/>
              </w:rPr>
              <w:t xml:space="preserve"> (наличие </w:t>
            </w:r>
            <w:r>
              <w:rPr>
                <w:sz w:val="19"/>
                <w:szCs w:val="19"/>
              </w:rPr>
              <w:t>ограниченного</w:t>
            </w:r>
            <w:r w:rsidR="00E97BC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числа</w:t>
            </w:r>
            <w:r w:rsidR="00E97BC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производителей и продавцов, отсутствие на рынке поставщиков,</w:t>
            </w:r>
            <w:r w:rsidR="00E97BC1">
              <w:rPr>
                <w:sz w:val="19"/>
                <w:szCs w:val="19"/>
              </w:rPr>
              <w:t xml:space="preserve"> подрядчиков, </w:t>
            </w:r>
            <w:r>
              <w:rPr>
                <w:sz w:val="19"/>
                <w:szCs w:val="19"/>
              </w:rPr>
              <w:t>исполнителей,</w:t>
            </w:r>
            <w:r w:rsidR="00E97BC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способных </w:t>
            </w:r>
            <w:r>
              <w:rPr>
                <w:sz w:val="19"/>
                <w:szCs w:val="19"/>
              </w:rPr>
              <w:t>выполнить контрактные обязательства).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более 70%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60-70%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966" w:rsidRDefault="00C83AA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Менее 60%</w:t>
            </w:r>
          </w:p>
        </w:tc>
      </w:tr>
    </w:tbl>
    <w:p w:rsidR="00C83AA0" w:rsidRDefault="00C83AA0"/>
    <w:sectPr w:rsidR="00C83AA0" w:rsidSect="00F66966">
      <w:headerReference w:type="even" r:id="rId11"/>
      <w:headerReference w:type="default" r:id="rId12"/>
      <w:pgSz w:w="16840" w:h="11900" w:orient="landscape"/>
      <w:pgMar w:top="650" w:right="670" w:bottom="964" w:left="838" w:header="222" w:footer="5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A0" w:rsidRDefault="00C83AA0" w:rsidP="00F66966">
      <w:r>
        <w:separator/>
      </w:r>
    </w:p>
  </w:endnote>
  <w:endnote w:type="continuationSeparator" w:id="1">
    <w:p w:rsidR="00C83AA0" w:rsidRDefault="00C83AA0" w:rsidP="00F6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A0" w:rsidRDefault="00C83AA0"/>
  </w:footnote>
  <w:footnote w:type="continuationSeparator" w:id="1">
    <w:p w:rsidR="00C83AA0" w:rsidRDefault="00C83A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66" w:rsidRDefault="00F6696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pt;margin-top:36.1pt;width:5.05pt;height:8.9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6966" w:rsidRDefault="00F66966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D198B" w:rsidRPr="002D198B">
                    <w:rPr>
                      <w:noProof/>
                      <w:sz w:val="26"/>
                      <w:szCs w:val="2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66" w:rsidRDefault="00F66966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66" w:rsidRDefault="00F6696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5pt;margin-top:36.1pt;width:5.05pt;height:8.9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6966" w:rsidRDefault="00F66966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D198B" w:rsidRPr="002D198B">
                    <w:rPr>
                      <w:noProof/>
                      <w:sz w:val="26"/>
                      <w:szCs w:val="26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66" w:rsidRDefault="00F6696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5pt;margin-top:36.1pt;width:5.05pt;height:8.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6966" w:rsidRDefault="00F66966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D198B" w:rsidRPr="002D198B">
                    <w:rPr>
                      <w:noProof/>
                      <w:sz w:val="26"/>
                      <w:szCs w:val="26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66" w:rsidRDefault="00F6696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66" w:rsidRDefault="00F669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512"/>
    <w:multiLevelType w:val="multilevel"/>
    <w:tmpl w:val="7D549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A2FD2"/>
    <w:multiLevelType w:val="multilevel"/>
    <w:tmpl w:val="8A543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4028A5"/>
    <w:multiLevelType w:val="multilevel"/>
    <w:tmpl w:val="0D2CC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513D0"/>
    <w:multiLevelType w:val="multilevel"/>
    <w:tmpl w:val="6C7C3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6966"/>
    <w:rsid w:val="002D198B"/>
    <w:rsid w:val="006F3D03"/>
    <w:rsid w:val="00C83AA0"/>
    <w:rsid w:val="00E97BC1"/>
    <w:rsid w:val="00F6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9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F66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F6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F6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F6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F6696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F66966"/>
    <w:pPr>
      <w:shd w:val="clear" w:color="auto" w:fill="FFFFFF"/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66966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F669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66966"/>
    <w:pPr>
      <w:shd w:val="clear" w:color="auto" w:fill="FFFFFF"/>
      <w:spacing w:after="200" w:line="252" w:lineRule="auto"/>
      <w:ind w:left="46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F66966"/>
    <w:pPr>
      <w:shd w:val="clear" w:color="auto" w:fill="FFFFFF"/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F66966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2023-02-13T12:51:00Z</dcterms:created>
  <dcterms:modified xsi:type="dcterms:W3CDTF">2023-02-13T13:13:00Z</dcterms:modified>
</cp:coreProperties>
</file>